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"/>
        <w:gridCol w:w="250"/>
        <w:gridCol w:w="835"/>
        <w:gridCol w:w="584"/>
        <w:gridCol w:w="1838"/>
        <w:gridCol w:w="585"/>
        <w:gridCol w:w="502"/>
        <w:gridCol w:w="3509"/>
        <w:gridCol w:w="9"/>
      </w:tblGrid>
      <w:tr w:rsidR="00F92C59" w:rsidRPr="00F92C59" w:rsidTr="00F92C59">
        <w:trPr>
          <w:trHeight w:val="552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center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3"/>
              </w:rPr>
              <w:t>安徽工程大学2020年度人才招聘计划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40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序号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单位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岗位名称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学科专业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学位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需求人数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12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84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机械与汽车工程学院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机械工程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承担车辆工程、机械电子工程等专业教学任务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仪器科学与技术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承担测控技术专业教学任务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控制科学与工程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承担机器人工程专业教学任务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承担智能科学与技术专业教学任务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光学工程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承担智能科学与技术专业教学任务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交通运输工程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材料科学与工程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承担材料成型专业教学任务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电气工程学院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控制科学与工程/电气工程/电子科学与技术/信息与通信工程/计算机科学与技术/核科学与技术/ 动力工程及工程热物理/交通运输工程/光学工程/仪器科学与技术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11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5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电子信息类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第一学历专业为电气工程及其自动化或者控制科学与工程;硕士毕业学校为985高校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0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专职科研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控制科学与工程/电气工程/电子科学与技术/信息与通信工程/计算机科学与技术/核科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学与技术/ 动力工程及工程热物理/交通运输工程/光学工程/仪器科学与技术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28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纺织服装学院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纺织科学与工程/设计学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设计学需要服装设计方向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专职科研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纺织科学与工程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32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生物与化学工程学院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化学/材料学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6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材料学要求高分子化学与物理、高分子材料与工程以及材料科学与工程相关专业。有工程实践经历或具有1年以上国（境）外学习、研究经历者优先，双一流学校优先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化学工程与技术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食品科学及相关学科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环境科学与工程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博士毕业于985/211/双一流/中科院等高校，本硕博至少有一个毕业于环境工程及相关专业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生物工程/生物制药相关学科（生物医学工程、生物化工、制药工程、微生物学、制药工程、微生物制药、天然药物、药学等）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生物制药类要求博士毕业于985/211/双一流/中科院等高校，本硕博至少有一个毕业于生物药物及相关专业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专职科研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化学/生物工程/环境科学与工程等学科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实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验教学与管理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化学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56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5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管理工程学院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工商管理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其中企业管理方向2人，市场营销、运营管理方向2人，人力资源管理相关专业2人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其中质量管理方向1人、交通运输工程方向1人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应用经济学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本科专业为国际贸易者优先录用，其中1人为农业经济管理方向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64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6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艺术学院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戏剧与影视学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国内985、211高校及专业院校；动画专业，有个人二维或三维动画代表作品3件以上；能胜任动画专业核心课程的教学任务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新闻传播学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设计学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国内985、211高校及专业院校，平面广告设计方向，首饰设计方向，媒体艺术方向，平面设计方向优先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设计学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本、硕士学位都要求：是985、211重点大学或专业类院校，工业设计、产品设计专业，须具有设计学相关专业博士点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8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7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计算机与信息学院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计算机科学与技术/软件工程等电子信息类专业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计算机类相关专业或研究方向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0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8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数理学院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数学/统计学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8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物理学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毕业于985/211/中科院等高校科研院所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金融学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金融科技与区块链专业方向优先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专职科研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数学/统计学/金融学等相关专业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控制理论和金融工程等专业方向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00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9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人文学院（人文素质教育中心）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公共管理/政治学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法学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社会学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中国语言文学/新闻传播学或教育学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10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外国语学院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人文社科类专业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本科或硕士专业为英语专业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日语语言文学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本科为211院校或以上日语专业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英语语言文学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本科为211院校，硕士211院校或海外名校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12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11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体育学院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体育学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本科需为全日制体育专业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具有较高的专业运动技能（二级以上运动员等级，同等条件下有轮滑特长的优先）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92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2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建筑工程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教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土木工程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结构工程、防灾减灾工程及防护、市政工程、工程管理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力学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管理科学与工程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工程管理方向，有工程实践经验者优先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建筑学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有工程实践经验者优先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实验教学与管理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土木工程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结构工程、市政工程方向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64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13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马克思主义学院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教学科研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马克思主义理论学科及相关学科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博士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7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原则上要求中共党员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1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马克思主义理论学科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毕业于985高校；原则上要求中共党员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72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14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现代技术中心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工程训练教学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计算机或电气工程相近专业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瀹嬩綋" w:eastAsia="瀹嬩綋" w:hAnsi="Tahoma" w:cs="Tahoma" w:hint="eastAsia"/>
                <w:color w:val="333333"/>
                <w:kern w:val="0"/>
                <w:sz w:val="13"/>
                <w:szCs w:val="13"/>
              </w:rPr>
              <w:t>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04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15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其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br/>
              <w:t>他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br/>
              <w:t>相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br/>
              <w:t>关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br/>
              <w:t>岗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br/>
              <w:t>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纪委办公室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法学（法律）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硕士及以上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190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具体招聘另行通知，纳入2020年辅导员及管理人员招聘。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24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发展规划与质量评估处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计算机科学与技术等相关专业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680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国有资产与实验室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管理处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理工科相关专业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24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保卫处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管理类、理工类相关专业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24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财务处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会计、财务管理相关专业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936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图书馆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图书情报与档案管理/电子科学与技术/信息与通信工程/计算机科学与技术/机械工程/电气工程/生物工程/化学工程与技术/纺织科学与工程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08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国际工程师学院校区管委会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工商管理（物业管理方向）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计算机科学与技术（计算机技术/计算机网络/网络工程）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电气工程/控制科学与工程/自动化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中国语文文学/新闻传播学/教学学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76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后勤保障处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医生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临床医学等相关专业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幼</w:t>
            </w: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儿教师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lastRenderedPageBreak/>
              <w:t>教育学（学前教育）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食品科学与工程等相关专业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5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土木工程等相关专业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36"/>
        </w:trPr>
        <w:tc>
          <w:tcPr>
            <w:tcW w:w="150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机械与汽车工程学院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理工科相关专业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实验教学与管理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车辆工程/机械制造及其自动化/机械电子工程/计算机科学与技术等相关/相近专业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68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电气工程学院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教育部重点实验室专职管理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电子信息类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480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生物与化学工程学院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专业实验室专职管理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化学或生物工程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  <w:tr w:rsidR="00F92C59" w:rsidRPr="00F92C59" w:rsidTr="00F92C59">
        <w:trPr>
          <w:trHeight w:val="368"/>
        </w:trPr>
        <w:tc>
          <w:tcPr>
            <w:tcW w:w="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26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相关学院</w:t>
            </w:r>
          </w:p>
        </w:tc>
        <w:tc>
          <w:tcPr>
            <w:tcW w:w="35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辅导员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F92C59" w:rsidRPr="00F92C59" w:rsidRDefault="00F92C59" w:rsidP="00F92C59">
            <w:pPr>
              <w:widowControl/>
              <w:spacing w:line="480" w:lineRule="auto"/>
              <w:ind w:firstLine="480"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  <w:r w:rsidRPr="00F92C59">
              <w:rPr>
                <w:rFonts w:ascii="宋体" w:eastAsia="宋体" w:hAnsi="宋体" w:cs="Tahoma" w:hint="eastAsia"/>
                <w:color w:val="333333"/>
                <w:kern w:val="0"/>
                <w:sz w:val="12"/>
                <w:szCs w:val="12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瀹嬩綋" w:eastAsia="瀹嬩綋" w:hAnsi="Tahoma" w:cs="Tahom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2C59" w:rsidRPr="00F92C59" w:rsidRDefault="00F92C59" w:rsidP="00F92C59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0"/>
                <w:szCs w:val="10"/>
              </w:rPr>
            </w:pPr>
          </w:p>
        </w:tc>
      </w:tr>
    </w:tbl>
    <w:p w:rsidR="00F92C59" w:rsidRPr="00F92C59" w:rsidRDefault="00F92C59" w:rsidP="00F92C59">
      <w:pPr>
        <w:widowControl/>
        <w:shd w:val="clear" w:color="auto" w:fill="FFFFFF"/>
        <w:spacing w:line="480" w:lineRule="atLeast"/>
        <w:ind w:firstLine="480"/>
        <w:jc w:val="left"/>
        <w:rPr>
          <w:rFonts w:ascii="瀹嬩綋" w:eastAsia="瀹嬩綋" w:hAnsi="宋体" w:cs="宋体"/>
          <w:color w:val="333333"/>
          <w:kern w:val="0"/>
          <w:sz w:val="13"/>
          <w:szCs w:val="13"/>
        </w:rPr>
      </w:pPr>
      <w:r w:rsidRPr="00F92C59">
        <w:rPr>
          <w:rFonts w:ascii="宋体" w:eastAsia="宋体" w:hAnsi="宋体" w:cs="宋体" w:hint="eastAsia"/>
          <w:color w:val="333333"/>
          <w:kern w:val="0"/>
          <w:sz w:val="13"/>
          <w:szCs w:val="13"/>
        </w:rPr>
        <w:t>    四、招聘流程</w:t>
      </w:r>
    </w:p>
    <w:p w:rsidR="00384940" w:rsidRDefault="00384940"/>
    <w:sectPr w:rsidR="0038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40" w:rsidRDefault="00384940" w:rsidP="00F92C59">
      <w:r>
        <w:separator/>
      </w:r>
    </w:p>
  </w:endnote>
  <w:endnote w:type="continuationSeparator" w:id="1">
    <w:p w:rsidR="00384940" w:rsidRDefault="00384940" w:rsidP="00F92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40" w:rsidRDefault="00384940" w:rsidP="00F92C59">
      <w:r>
        <w:separator/>
      </w:r>
    </w:p>
  </w:footnote>
  <w:footnote w:type="continuationSeparator" w:id="1">
    <w:p w:rsidR="00384940" w:rsidRDefault="00384940" w:rsidP="00F92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C59"/>
    <w:rsid w:val="00384940"/>
    <w:rsid w:val="00F9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C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C5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92C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2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>china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2020-01-08T02:38:00Z</dcterms:created>
  <dcterms:modified xsi:type="dcterms:W3CDTF">2020-01-08T02:38:00Z</dcterms:modified>
</cp:coreProperties>
</file>