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01" w:firstLineChars="100"/>
        <w:jc w:val="left"/>
        <w:rPr>
          <w:rFonts w:hint="eastAsia" w:ascii="宋体" w:hAnsi="宋体" w:eastAsia="宋体" w:cs="宋体"/>
          <w:b/>
          <w:kern w:val="0"/>
          <w:sz w:val="30"/>
          <w:szCs w:val="30"/>
          <w:u w:val="none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0"/>
          <w:szCs w:val="30"/>
          <w:u w:val="none"/>
          <w:lang w:val="en-US" w:eastAsia="zh-CN" w:bidi="ar"/>
        </w:rPr>
        <w:t>2019年</w:t>
      </w:r>
      <w:bookmarkEnd w:id="0"/>
      <w:r>
        <w:rPr>
          <w:rFonts w:hint="eastAsia" w:ascii="宋体" w:hAnsi="宋体" w:eastAsia="宋体" w:cs="宋体"/>
          <w:b/>
          <w:kern w:val="0"/>
          <w:sz w:val="30"/>
          <w:szCs w:val="30"/>
          <w:u w:val="none"/>
          <w:lang w:val="en-US" w:eastAsia="zh-CN" w:bidi="ar"/>
        </w:rPr>
        <w:t>宿州学院管理机构工作人员招聘计划</w:t>
      </w:r>
    </w:p>
    <w:tbl>
      <w:tblPr>
        <w:tblW w:w="6611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698"/>
        <w:gridCol w:w="710"/>
        <w:gridCol w:w="1684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学科、专业及其他要求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学历（学位）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学工部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专业不限，中共党员，学生干部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诉讼法学、经济法学、民商法学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审计处、财务处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审计学、会计学、财务管理、财政学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基建处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ˎ̥" w:hAnsi="ˎ̥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土木工程、结构工程、市政工程、建筑设计、工程概算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国有资产与设备管理处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会计学、财务管理、统计学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教务处、图书馆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高等教育学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图书馆学、情报学、档案学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学报编辑部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编辑出版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后勤管理处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物业管理、园林规划与设计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后勤管理处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高压电与绝缘技术、电力系统及其自动化、电机与电器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none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Times New Roman"/>
          <w:b w:val="0"/>
          <w:u w:val="none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046FC"/>
    <w:rsid w:val="7C904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2018-11-08T06:44:00Z</dcterms:created>
  <dc:creator>ASUS</dc:creator>
  <cp:lastModifiedBy>ASUS</cp:lastModifiedBy>
  <dcterms:modified xsi:type="dcterms:W3CDTF">2018-11-08T06:45:06Z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